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721F9" w:rsidRDefault="00E721F9">
      <w:pPr>
        <w:tabs>
          <w:tab w:val="left" w:pos="6540"/>
        </w:tabs>
        <w:rPr>
          <w:b/>
          <w:u w:val="single"/>
        </w:rPr>
      </w:pPr>
    </w:p>
    <w:tbl>
      <w:tblPr>
        <w:tblStyle w:val="a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5715"/>
      </w:tblGrid>
      <w:tr w:rsidR="00E721F9">
        <w:trPr>
          <w:trHeight w:val="280"/>
        </w:trPr>
        <w:tc>
          <w:tcPr>
            <w:tcW w:w="11010" w:type="dxa"/>
            <w:gridSpan w:val="2"/>
            <w:shd w:val="clear" w:color="auto" w:fill="95B3D7"/>
          </w:tcPr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2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Title: European Affairs and Partnership Intern</w:t>
            </w:r>
          </w:p>
        </w:tc>
      </w:tr>
      <w:tr w:rsidR="00E721F9">
        <w:trPr>
          <w:trHeight w:val="280"/>
        </w:trPr>
        <w:tc>
          <w:tcPr>
            <w:tcW w:w="5295" w:type="dxa"/>
            <w:shd w:val="clear" w:color="auto" w:fill="FFFFFF"/>
          </w:tcPr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Department/Program</w:t>
            </w:r>
            <w:r>
              <w:rPr>
                <w:sz w:val="24"/>
                <w:szCs w:val="24"/>
              </w:rPr>
              <w:t>: European Affairs and Partnerships (EAP)</w:t>
            </w:r>
          </w:p>
        </w:tc>
        <w:tc>
          <w:tcPr>
            <w:tcW w:w="5715" w:type="dxa"/>
            <w:shd w:val="clear" w:color="auto" w:fill="FFFFFF"/>
          </w:tcPr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2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Location: </w:t>
            </w:r>
            <w:r>
              <w:rPr>
                <w:sz w:val="24"/>
                <w:szCs w:val="24"/>
              </w:rPr>
              <w:t xml:space="preserve"> Search for Common Ground (Search), Brussels, Belgium</w:t>
            </w:r>
          </w:p>
        </w:tc>
      </w:tr>
      <w:tr w:rsidR="00E721F9">
        <w:trPr>
          <w:trHeight w:val="500"/>
        </w:trPr>
        <w:tc>
          <w:tcPr>
            <w:tcW w:w="5295" w:type="dxa"/>
            <w:shd w:val="clear" w:color="auto" w:fill="FFFFFF"/>
          </w:tcPr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2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Level: </w:t>
            </w:r>
            <w:r>
              <w:rPr>
                <w:sz w:val="24"/>
                <w:szCs w:val="24"/>
              </w:rPr>
              <w:t>Internship</w:t>
            </w:r>
          </w:p>
        </w:tc>
        <w:tc>
          <w:tcPr>
            <w:tcW w:w="5715" w:type="dxa"/>
            <w:shd w:val="clear" w:color="auto" w:fill="FFFFFF"/>
          </w:tcPr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2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Term: </w:t>
            </w:r>
            <w:r w:rsidR="0031291E">
              <w:rPr>
                <w:sz w:val="24"/>
                <w:szCs w:val="24"/>
              </w:rPr>
              <w:t>4-</w:t>
            </w:r>
            <w:r>
              <w:rPr>
                <w:sz w:val="24"/>
                <w:szCs w:val="24"/>
              </w:rPr>
              <w:t>6 months</w:t>
            </w:r>
          </w:p>
        </w:tc>
      </w:tr>
      <w:tr w:rsidR="00E721F9">
        <w:trPr>
          <w:trHeight w:val="360"/>
        </w:trPr>
        <w:tc>
          <w:tcPr>
            <w:tcW w:w="11010" w:type="dxa"/>
            <w:gridSpan w:val="2"/>
            <w:shd w:val="clear" w:color="auto" w:fill="95B3D7"/>
          </w:tcPr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20"/>
              </w:tabs>
              <w:rPr>
                <w:b/>
              </w:rPr>
            </w:pPr>
            <w:r>
              <w:rPr>
                <w:b/>
                <w:sz w:val="24"/>
                <w:szCs w:val="24"/>
              </w:rPr>
              <w:t>THE “WHY” - Purpose of the Role</w:t>
            </w:r>
            <w:r>
              <w:rPr>
                <w:b/>
              </w:rPr>
              <w:tab/>
            </w:r>
          </w:p>
        </w:tc>
      </w:tr>
      <w:tr w:rsidR="00E721F9">
        <w:trPr>
          <w:trHeight w:val="1100"/>
        </w:trPr>
        <w:tc>
          <w:tcPr>
            <w:tcW w:w="110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Search for Common Ground is seeking a full-time</w:t>
            </w:r>
            <w:r>
              <w:rPr>
                <w:sz w:val="24"/>
                <w:szCs w:val="24"/>
                <w:highlight w:val="white"/>
              </w:rPr>
              <w:t xml:space="preserve"> intern to assist its European Affairs and Partnership (EAP) team in all European business development activities. The objective of this internship </w:t>
            </w:r>
            <w:proofErr w:type="spellStart"/>
            <w:r>
              <w:rPr>
                <w:sz w:val="24"/>
                <w:szCs w:val="24"/>
                <w:highlight w:val="white"/>
              </w:rPr>
              <w:t>programme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is to provide the Intern with the following knowledge and skills:</w:t>
            </w:r>
          </w:p>
          <w:p w:rsidR="00E721F9" w:rsidRDefault="00E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</w:p>
          <w:p w:rsidR="00E721F9" w:rsidRDefault="00E656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Peacebuilding and conflict tran</w:t>
            </w:r>
            <w:r>
              <w:rPr>
                <w:sz w:val="24"/>
                <w:szCs w:val="24"/>
                <w:highlight w:val="white"/>
              </w:rPr>
              <w:t>sformation methodologies and programming</w:t>
            </w:r>
          </w:p>
          <w:p w:rsidR="00E721F9" w:rsidRDefault="00E656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Knowledge of the work of European institutions and European governments on the topic of peacebuilding</w:t>
            </w:r>
          </w:p>
          <w:p w:rsidR="00E721F9" w:rsidRDefault="00E656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Experience of policy development in the field of peacebuilding</w:t>
            </w:r>
          </w:p>
          <w:p w:rsidR="00E721F9" w:rsidRDefault="00E656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Skills to better organize and prioritize own work,</w:t>
            </w:r>
            <w:r>
              <w:rPr>
                <w:sz w:val="24"/>
                <w:szCs w:val="24"/>
                <w:highlight w:val="white"/>
              </w:rPr>
              <w:t xml:space="preserve"> time management</w:t>
            </w:r>
          </w:p>
          <w:p w:rsidR="00E721F9" w:rsidRDefault="00E656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Understanding of European and bilateral funding instruments and funding research</w:t>
            </w:r>
          </w:p>
          <w:p w:rsidR="00E721F9" w:rsidRDefault="00E656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Expand network in Brussels</w:t>
            </w:r>
          </w:p>
          <w:p w:rsidR="00E721F9" w:rsidRDefault="00E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</w:p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sz w:val="24"/>
                <w:szCs w:val="24"/>
                <w:highlight w:val="white"/>
              </w:rPr>
              <w:t>Progress against the learning objectives will be monitored by the Intern and their Supervisor. The learning objectives and/or task</w:t>
            </w:r>
            <w:r>
              <w:rPr>
                <w:sz w:val="24"/>
                <w:szCs w:val="24"/>
                <w:highlight w:val="white"/>
              </w:rPr>
              <w:t xml:space="preserve">s may be modified during the internship if this is deemed appropriate by both parties. </w:t>
            </w:r>
            <w:r>
              <w:rPr>
                <w:sz w:val="24"/>
                <w:szCs w:val="24"/>
              </w:rPr>
              <w:br/>
            </w:r>
          </w:p>
        </w:tc>
      </w:tr>
      <w:tr w:rsidR="00E721F9">
        <w:trPr>
          <w:trHeight w:val="120"/>
        </w:trPr>
        <w:tc>
          <w:tcPr>
            <w:tcW w:w="11010" w:type="dxa"/>
            <w:gridSpan w:val="2"/>
            <w:shd w:val="clear" w:color="auto" w:fill="95B3D7"/>
          </w:tcPr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“WHAT” - Essential Duties and Responsibilities</w:t>
            </w:r>
          </w:p>
        </w:tc>
      </w:tr>
      <w:tr w:rsidR="00E721F9">
        <w:trPr>
          <w:trHeight w:val="2240"/>
        </w:trPr>
        <w:tc>
          <w:tcPr>
            <w:tcW w:w="11010" w:type="dxa"/>
            <w:gridSpan w:val="2"/>
            <w:vMerge w:val="restart"/>
            <w:shd w:val="clear" w:color="auto" w:fill="FFFFFF"/>
          </w:tcPr>
          <w:p w:rsidR="00E721F9" w:rsidRDefault="00E656F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The EAP Intern will be an integral part of a dynamic Brussels Headquarters team and the EAP team. The intern’s responsibilities </w:t>
            </w:r>
            <w:proofErr w:type="gramStart"/>
            <w:r>
              <w:rPr>
                <w:sz w:val="24"/>
                <w:szCs w:val="24"/>
                <w:highlight w:val="white"/>
              </w:rPr>
              <w:t>is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to: a) support the business development work of the EAP, particularly through research, b) support the advocacy work of the E</w:t>
            </w:r>
            <w:r>
              <w:rPr>
                <w:sz w:val="24"/>
                <w:szCs w:val="24"/>
                <w:highlight w:val="white"/>
              </w:rPr>
              <w:t>AP as needed and c) to support with administrative work as needed.</w:t>
            </w:r>
          </w:p>
          <w:p w:rsidR="00E721F9" w:rsidRDefault="00E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area 1:</w:t>
            </w:r>
            <w:r>
              <w:rPr>
                <w:b/>
                <w:i/>
                <w:color w:val="222222"/>
                <w:sz w:val="24"/>
                <w:szCs w:val="24"/>
              </w:rPr>
              <w:t xml:space="preserve"> </w:t>
            </w:r>
            <w:r>
              <w:rPr>
                <w:b/>
                <w:color w:val="222222"/>
                <w:sz w:val="24"/>
                <w:szCs w:val="24"/>
              </w:rPr>
              <w:t>Business development (60%)</w:t>
            </w:r>
          </w:p>
          <w:p w:rsidR="00E721F9" w:rsidRDefault="00E656F3">
            <w:pPr>
              <w:numPr>
                <w:ilvl w:val="0"/>
                <w:numId w:val="6"/>
              </w:num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Conduct daily desk research on European (EU, governments and others) funding opportunities </w:t>
            </w:r>
          </w:p>
          <w:p w:rsidR="00E721F9" w:rsidRDefault="00E656F3">
            <w:pPr>
              <w:numPr>
                <w:ilvl w:val="0"/>
                <w:numId w:val="6"/>
              </w:num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Research and draft EU-updates for field offices</w:t>
            </w:r>
          </w:p>
          <w:p w:rsidR="00E721F9" w:rsidRDefault="00E656F3">
            <w:pPr>
              <w:numPr>
                <w:ilvl w:val="0"/>
                <w:numId w:val="6"/>
              </w:numPr>
              <w:spacing w:after="20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Support writing of applications and other business development related tasks</w:t>
            </w:r>
          </w:p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Key area 2: </w:t>
            </w:r>
            <w:r>
              <w:rPr>
                <w:b/>
                <w:color w:val="222222"/>
                <w:sz w:val="24"/>
                <w:szCs w:val="24"/>
              </w:rPr>
              <w:t>Advocacy (30%)</w:t>
            </w:r>
          </w:p>
          <w:p w:rsidR="00E721F9" w:rsidRDefault="00E656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Represent Search at events relevant to our program work and report back to the relevant field teams  </w:t>
            </w:r>
          </w:p>
          <w:p w:rsidR="00E721F9" w:rsidRDefault="00E656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Assist with </w:t>
            </w:r>
            <w:proofErr w:type="spellStart"/>
            <w:r>
              <w:rPr>
                <w:color w:val="222222"/>
                <w:sz w:val="24"/>
                <w:szCs w:val="24"/>
              </w:rPr>
              <w:t>organisation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of advocacy meetings (vis</w:t>
            </w:r>
            <w:r>
              <w:rPr>
                <w:color w:val="222222"/>
                <w:sz w:val="24"/>
                <w:szCs w:val="24"/>
              </w:rPr>
              <w:t>its of field staff to Brussels office) and other events</w:t>
            </w:r>
          </w:p>
          <w:p w:rsidR="00E721F9" w:rsidRDefault="00E656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Other tasks related to EAP advocacy work </w:t>
            </w:r>
          </w:p>
          <w:p w:rsidR="00E721F9" w:rsidRDefault="00E721F9">
            <w:pPr>
              <w:widowControl/>
              <w:rPr>
                <w:b/>
                <w:sz w:val="24"/>
                <w:szCs w:val="24"/>
                <w:highlight w:val="white"/>
              </w:rPr>
            </w:pPr>
          </w:p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lastRenderedPageBreak/>
              <w:t xml:space="preserve">Key area 3: </w:t>
            </w:r>
            <w:r>
              <w:rPr>
                <w:b/>
                <w:color w:val="222222"/>
                <w:sz w:val="24"/>
                <w:szCs w:val="24"/>
              </w:rPr>
              <w:t>Other Support (10%)</w:t>
            </w:r>
          </w:p>
          <w:p w:rsidR="00E721F9" w:rsidRDefault="00E656F3">
            <w:pPr>
              <w:numPr>
                <w:ilvl w:val="0"/>
                <w:numId w:val="4"/>
              </w:num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Provide urgent, needs-based support on content research for the EAP team and overall </w:t>
            </w:r>
            <w:proofErr w:type="spellStart"/>
            <w:r>
              <w:rPr>
                <w:color w:val="222222"/>
                <w:sz w:val="24"/>
                <w:szCs w:val="24"/>
              </w:rPr>
              <w:t>organisation</w:t>
            </w:r>
            <w:proofErr w:type="spellEnd"/>
            <w:r>
              <w:rPr>
                <w:color w:val="222222"/>
                <w:sz w:val="24"/>
                <w:szCs w:val="24"/>
              </w:rPr>
              <w:t>.</w:t>
            </w:r>
          </w:p>
          <w:p w:rsidR="00E721F9" w:rsidRDefault="00E656F3">
            <w:pPr>
              <w:numPr>
                <w:ilvl w:val="0"/>
                <w:numId w:val="4"/>
              </w:numPr>
              <w:spacing w:after="20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Provide general administra</w:t>
            </w:r>
            <w:r>
              <w:rPr>
                <w:color w:val="222222"/>
                <w:sz w:val="24"/>
                <w:szCs w:val="24"/>
              </w:rPr>
              <w:t>tive support</w:t>
            </w:r>
          </w:p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As job descriptions cannot be exhaustive, the position holder may be required to undertake other duties that are broadly in line with the above key responsibilities.</w:t>
            </w:r>
          </w:p>
        </w:tc>
      </w:tr>
      <w:tr w:rsidR="00E721F9">
        <w:trPr>
          <w:trHeight w:val="2240"/>
        </w:trPr>
        <w:tc>
          <w:tcPr>
            <w:tcW w:w="11010" w:type="dxa"/>
            <w:gridSpan w:val="2"/>
            <w:vMerge/>
            <w:shd w:val="clear" w:color="auto" w:fill="FFFFFF"/>
          </w:tcPr>
          <w:p w:rsidR="00E721F9" w:rsidRDefault="00E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E721F9">
        <w:trPr>
          <w:trHeight w:val="293"/>
        </w:trPr>
        <w:tc>
          <w:tcPr>
            <w:tcW w:w="11010" w:type="dxa"/>
            <w:gridSpan w:val="2"/>
            <w:vMerge/>
            <w:shd w:val="clear" w:color="auto" w:fill="FFFFFF"/>
          </w:tcPr>
          <w:p w:rsidR="00E721F9" w:rsidRDefault="00E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E721F9">
        <w:trPr>
          <w:trHeight w:val="280"/>
        </w:trPr>
        <w:tc>
          <w:tcPr>
            <w:tcW w:w="11010" w:type="dxa"/>
            <w:gridSpan w:val="2"/>
            <w:shd w:val="clear" w:color="auto" w:fill="95B3D7"/>
          </w:tcPr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“HOW” - Qualifications and Skills Required</w:t>
            </w:r>
          </w:p>
        </w:tc>
      </w:tr>
      <w:tr w:rsidR="00E721F9">
        <w:trPr>
          <w:trHeight w:val="293"/>
        </w:trPr>
        <w:tc>
          <w:tcPr>
            <w:tcW w:w="11010" w:type="dxa"/>
            <w:gridSpan w:val="2"/>
            <w:vMerge w:val="restart"/>
            <w:shd w:val="clear" w:color="auto" w:fill="FFFFFF"/>
          </w:tcPr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Education and skills requirements </w:t>
            </w:r>
          </w:p>
          <w:p w:rsidR="00E721F9" w:rsidRDefault="00E656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Bachelor Degree</w:t>
            </w:r>
            <w:proofErr w:type="gramEnd"/>
            <w:r>
              <w:rPr>
                <w:sz w:val="24"/>
                <w:szCs w:val="24"/>
              </w:rPr>
              <w:t xml:space="preserve"> or in the pursuit of a university degree - preferably in international relations, conflict studies, development studies, political science or similar;</w:t>
            </w:r>
          </w:p>
          <w:p w:rsidR="00E721F9" w:rsidRDefault="00E656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Knowledge of European institutions and understanding of EU decision-making procedures; </w:t>
            </w:r>
          </w:p>
          <w:p w:rsidR="00E721F9" w:rsidRDefault="00E656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(volunteering) experience in related field would be an asset;</w:t>
            </w:r>
          </w:p>
          <w:p w:rsidR="00E721F9" w:rsidRDefault="00E656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skills with the ability to pay close attention to detail;</w:t>
            </w:r>
          </w:p>
          <w:p w:rsidR="00E721F9" w:rsidRDefault="00E656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oral and written communica</w:t>
            </w:r>
            <w:r>
              <w:rPr>
                <w:sz w:val="24"/>
                <w:szCs w:val="24"/>
              </w:rPr>
              <w:t xml:space="preserve">tion in English and </w:t>
            </w:r>
            <w:proofErr w:type="spellStart"/>
            <w:r>
              <w:rPr>
                <w:sz w:val="24"/>
                <w:szCs w:val="24"/>
              </w:rPr>
              <w:t>organisational</w:t>
            </w:r>
            <w:proofErr w:type="spellEnd"/>
            <w:r>
              <w:rPr>
                <w:sz w:val="24"/>
                <w:szCs w:val="24"/>
              </w:rPr>
              <w:t xml:space="preserve"> skills; </w:t>
            </w:r>
          </w:p>
          <w:p w:rsidR="00E721F9" w:rsidRDefault="00E656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French would be an asset;</w:t>
            </w:r>
          </w:p>
          <w:p w:rsidR="00E721F9" w:rsidRDefault="00E656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manage multiple projects simultaneously within a demanding environment.</w:t>
            </w:r>
          </w:p>
          <w:p w:rsidR="00E721F9" w:rsidRDefault="00E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E721F9" w:rsidRDefault="00E65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Behavioral Competencies</w:t>
            </w:r>
          </w:p>
          <w:p w:rsidR="00E721F9" w:rsidRDefault="00E656F3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Working with People. </w:t>
            </w:r>
            <w:r>
              <w:rPr>
                <w:sz w:val="24"/>
                <w:szCs w:val="24"/>
              </w:rPr>
              <w:t>The ability to respect the views and contributions of other team members; shows empathy, listens, supports; consults others and shares information and expertise, builds team spirit and adapts to the team.</w:t>
            </w:r>
          </w:p>
          <w:p w:rsidR="00E721F9" w:rsidRDefault="00E656F3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Flexibility. </w:t>
            </w:r>
            <w:r>
              <w:rPr>
                <w:sz w:val="24"/>
                <w:szCs w:val="24"/>
              </w:rPr>
              <w:t xml:space="preserve"> The ability to adapt to changing circ</w:t>
            </w:r>
            <w:r>
              <w:rPr>
                <w:sz w:val="24"/>
                <w:szCs w:val="24"/>
              </w:rPr>
              <w:t>umstances and priorities, to tolerate ambiguity, to adapt personal style to different people and situations.</w:t>
            </w:r>
          </w:p>
          <w:p w:rsidR="00E721F9" w:rsidRDefault="00E656F3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</w:t>
            </w:r>
            <w:r>
              <w:rPr>
                <w:sz w:val="24"/>
                <w:szCs w:val="24"/>
              </w:rPr>
              <w:t xml:space="preserve">. The ability to effectively exchange information with others, to effectively deliver critical information, to gather information and </w:t>
            </w:r>
            <w:r>
              <w:rPr>
                <w:sz w:val="24"/>
                <w:szCs w:val="24"/>
              </w:rPr>
              <w:t>communicate with others.</w:t>
            </w:r>
          </w:p>
          <w:p w:rsidR="00E721F9" w:rsidRDefault="00E656F3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Ethical Practice</w:t>
            </w:r>
            <w:r>
              <w:rPr>
                <w:sz w:val="24"/>
                <w:szCs w:val="24"/>
              </w:rPr>
              <w:t>. The ability to integrate Search vision, mission and core values, integrity and accountability throughout all organizational and business practices.</w:t>
            </w:r>
          </w:p>
          <w:p w:rsidR="00E721F9" w:rsidRDefault="00E656F3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Commitment to Search Values:  </w:t>
            </w:r>
            <w:r>
              <w:rPr>
                <w:sz w:val="24"/>
                <w:szCs w:val="24"/>
                <w:highlight w:val="white"/>
              </w:rPr>
              <w:t>Shared Humanity - Empathy - Imparti</w:t>
            </w:r>
            <w:r>
              <w:rPr>
                <w:sz w:val="24"/>
                <w:szCs w:val="24"/>
                <w:highlight w:val="white"/>
              </w:rPr>
              <w:t xml:space="preserve">ality </w:t>
            </w:r>
            <w:proofErr w:type="gramStart"/>
            <w:r>
              <w:rPr>
                <w:sz w:val="24"/>
                <w:szCs w:val="24"/>
                <w:highlight w:val="white"/>
              </w:rPr>
              <w:t>-  Inclusivity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-  Courage -  Hope - Humility - Audacity.</w:t>
            </w:r>
          </w:p>
          <w:p w:rsidR="00E721F9" w:rsidRDefault="00E721F9">
            <w:pPr>
              <w:rPr>
                <w:sz w:val="24"/>
                <w:szCs w:val="24"/>
                <w:highlight w:val="white"/>
              </w:rPr>
            </w:pPr>
          </w:p>
          <w:p w:rsidR="00E721F9" w:rsidRDefault="00E65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candidate will have to do the internship as part of their studies. </w:t>
            </w:r>
          </w:p>
          <w:p w:rsidR="00E721F9" w:rsidRDefault="00E65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Duration: Must be available for at least 20 hours per week for a period of at least 4 months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candidates available for a </w:t>
            </w:r>
            <w:proofErr w:type="gramStart"/>
            <w:r>
              <w:rPr>
                <w:sz w:val="24"/>
                <w:szCs w:val="24"/>
              </w:rPr>
              <w:t>full time</w:t>
            </w:r>
            <w:proofErr w:type="gramEnd"/>
            <w:r>
              <w:rPr>
                <w:sz w:val="24"/>
                <w:szCs w:val="24"/>
              </w:rPr>
              <w:t xml:space="preserve"> internship are preferred. </w:t>
            </w:r>
          </w:p>
          <w:p w:rsidR="00E721F9" w:rsidRDefault="00E721F9">
            <w:pPr>
              <w:rPr>
                <w:sz w:val="24"/>
                <w:szCs w:val="24"/>
              </w:rPr>
            </w:pPr>
          </w:p>
          <w:p w:rsidR="00E721F9" w:rsidRDefault="00E721F9" w:rsidP="0031291E">
            <w:pPr>
              <w:rPr>
                <w:sz w:val="24"/>
                <w:szCs w:val="24"/>
                <w:highlight w:val="white"/>
              </w:rPr>
            </w:pPr>
            <w:bookmarkStart w:id="0" w:name="_GoBack"/>
            <w:bookmarkEnd w:id="0"/>
          </w:p>
        </w:tc>
      </w:tr>
      <w:tr w:rsidR="00E721F9">
        <w:trPr>
          <w:trHeight w:val="400"/>
        </w:trPr>
        <w:tc>
          <w:tcPr>
            <w:tcW w:w="11010" w:type="dxa"/>
            <w:gridSpan w:val="2"/>
            <w:vMerge/>
            <w:shd w:val="clear" w:color="auto" w:fill="FFFFFF"/>
          </w:tcPr>
          <w:p w:rsidR="00E721F9" w:rsidRDefault="00E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:rsidR="00E721F9" w:rsidRDefault="00E721F9">
      <w:pPr>
        <w:tabs>
          <w:tab w:val="left" w:pos="6540"/>
        </w:tabs>
        <w:rPr>
          <w:b/>
          <w:highlight w:val="yellow"/>
        </w:rPr>
      </w:pPr>
    </w:p>
    <w:p w:rsidR="00E721F9" w:rsidRDefault="00E721F9">
      <w:pPr>
        <w:tabs>
          <w:tab w:val="left" w:pos="6540"/>
        </w:tabs>
        <w:rPr>
          <w:b/>
          <w:highlight w:val="yellow"/>
        </w:rPr>
      </w:pPr>
    </w:p>
    <w:sectPr w:rsidR="00E721F9">
      <w:headerReference w:type="default" r:id="rId7"/>
      <w:footerReference w:type="default" r:id="rId8"/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6F3" w:rsidRDefault="00E656F3">
      <w:pPr>
        <w:spacing w:after="0" w:line="240" w:lineRule="auto"/>
      </w:pPr>
      <w:r>
        <w:separator/>
      </w:r>
    </w:p>
  </w:endnote>
  <w:endnote w:type="continuationSeparator" w:id="0">
    <w:p w:rsidR="00E656F3" w:rsidRDefault="00E6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1F9" w:rsidRDefault="00E65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  <w:jc w:val="center"/>
      <w:rPr>
        <w:color w:val="000000"/>
      </w:rPr>
    </w:pPr>
    <w:r>
      <w:rPr>
        <w:i/>
        <w:sz w:val="16"/>
        <w:szCs w:val="16"/>
      </w:rPr>
      <w:t>Global HR doc 04-12-2017</w:t>
    </w:r>
    <w:r>
      <w:t xml:space="preserve">                                                                                                                     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31291E">
      <w:rPr>
        <w:color w:val="000000"/>
      </w:rPr>
      <w:fldChar w:fldCharType="separate"/>
    </w:r>
    <w:r w:rsidR="0031291E">
      <w:rPr>
        <w:noProof/>
        <w:color w:val="000000"/>
      </w:rPr>
      <w:t>1</w:t>
    </w:r>
    <w:r>
      <w:rPr>
        <w:color w:val="000000"/>
      </w:rPr>
      <w:fldChar w:fldCharType="end"/>
    </w:r>
  </w:p>
  <w:p w:rsidR="00E721F9" w:rsidRDefault="00E721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6F3" w:rsidRDefault="00E656F3">
      <w:pPr>
        <w:spacing w:after="0" w:line="240" w:lineRule="auto"/>
      </w:pPr>
      <w:r>
        <w:separator/>
      </w:r>
    </w:p>
  </w:footnote>
  <w:footnote w:type="continuationSeparator" w:id="0">
    <w:p w:rsidR="00E656F3" w:rsidRDefault="00E6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1F9" w:rsidRDefault="00E656F3">
    <w:pPr>
      <w:spacing w:before="720" w:line="240" w:lineRule="auto"/>
      <w:jc w:val="center"/>
      <w:rPr>
        <w:b/>
        <w:sz w:val="40"/>
        <w:szCs w:val="40"/>
      </w:rPr>
    </w:pPr>
    <w:r>
      <w:rPr>
        <w:b/>
        <w:sz w:val="40"/>
        <w:szCs w:val="40"/>
      </w:rPr>
      <w:t>Role Description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-380997</wp:posOffset>
          </wp:positionH>
          <wp:positionV relativeFrom="paragraph">
            <wp:posOffset>142875</wp:posOffset>
          </wp:positionV>
          <wp:extent cx="2214563" cy="3940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4563" cy="39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45085"/>
    <w:multiLevelType w:val="multilevel"/>
    <w:tmpl w:val="AECC6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D271BD"/>
    <w:multiLevelType w:val="multilevel"/>
    <w:tmpl w:val="73867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9D1771"/>
    <w:multiLevelType w:val="multilevel"/>
    <w:tmpl w:val="DE502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ED5721"/>
    <w:multiLevelType w:val="multilevel"/>
    <w:tmpl w:val="ADDC4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403524"/>
    <w:multiLevelType w:val="multilevel"/>
    <w:tmpl w:val="CE6A57B6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0B7702"/>
    <w:multiLevelType w:val="multilevel"/>
    <w:tmpl w:val="C8A60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1F9"/>
    <w:rsid w:val="0031291E"/>
    <w:rsid w:val="00E656F3"/>
    <w:rsid w:val="00E7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7A0B"/>
  <w15:docId w15:val="{7D7FB6A2-C101-4D77-BF6A-B43EFA72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rFonts w:ascii="Cambria" w:eastAsia="Cambria" w:hAnsi="Cambria" w:cs="Cambria"/>
      <w:b/>
      <w:color w:val="0095C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Matilda Flemming</cp:lastModifiedBy>
  <cp:revision>2</cp:revision>
  <dcterms:created xsi:type="dcterms:W3CDTF">2019-03-10T14:53:00Z</dcterms:created>
  <dcterms:modified xsi:type="dcterms:W3CDTF">2019-03-10T14:53:00Z</dcterms:modified>
</cp:coreProperties>
</file>